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8E" w:rsidRPr="007F3982" w:rsidRDefault="009E6F8E" w:rsidP="009E6F8E">
      <w:pPr>
        <w:spacing w:after="200"/>
        <w:jc w:val="center"/>
        <w:rPr>
          <w:rFonts w:ascii="Times New Roman" w:eastAsiaTheme="minorHAnsi" w:hAnsi="Times New Roman"/>
          <w:b/>
          <w:color w:val="000000"/>
          <w:sz w:val="36"/>
          <w:szCs w:val="27"/>
        </w:rPr>
      </w:pPr>
      <w:bookmarkStart w:id="0" w:name="P12"/>
      <w:bookmarkStart w:id="1" w:name="_GoBack"/>
      <w:bookmarkEnd w:id="0"/>
      <w:bookmarkEnd w:id="1"/>
      <w:r w:rsidRPr="007F3982">
        <w:rPr>
          <w:rFonts w:ascii="Times New Roman" w:eastAsiaTheme="minorHAnsi" w:hAnsi="Times New Roman"/>
          <w:b/>
          <w:color w:val="000000"/>
          <w:sz w:val="36"/>
          <w:szCs w:val="27"/>
        </w:rPr>
        <w:t>ОБЩЕРОССИЙСКЙИ ПРОФСОЮЗ ОБРАЗОВАНИЯ</w:t>
      </w:r>
    </w:p>
    <w:p w:rsidR="009E6F8E" w:rsidRPr="007F3982" w:rsidRDefault="009E6F8E" w:rsidP="009E6F8E">
      <w:pPr>
        <w:spacing w:after="200"/>
        <w:jc w:val="center"/>
        <w:rPr>
          <w:rFonts w:ascii="Times New Roman" w:eastAsiaTheme="minorHAnsi" w:hAnsi="Times New Roman"/>
          <w:b/>
          <w:color w:val="000000"/>
          <w:sz w:val="36"/>
          <w:szCs w:val="27"/>
        </w:rPr>
      </w:pPr>
      <w:r w:rsidRPr="007F3982">
        <w:rPr>
          <w:rFonts w:ascii="Times New Roman" w:eastAsiaTheme="minorHAnsi" w:hAnsi="Times New Roman"/>
          <w:b/>
          <w:color w:val="000000"/>
          <w:sz w:val="36"/>
          <w:szCs w:val="27"/>
        </w:rPr>
        <w:t>БУРЯТСКАЯ РЕСПУБЛИКАНСКАЯ ОРГАНИЗАЦИЯ</w:t>
      </w:r>
    </w:p>
    <w:p w:rsidR="009E6F8E" w:rsidRPr="003F0F2F" w:rsidRDefault="009E6F8E" w:rsidP="009E6F8E">
      <w:pPr>
        <w:spacing w:after="200"/>
        <w:rPr>
          <w:rFonts w:ascii="Times New Roman" w:eastAsiaTheme="minorHAnsi" w:hAnsi="Times New Roman"/>
          <w:b/>
          <w:color w:val="000000"/>
          <w:sz w:val="27"/>
          <w:szCs w:val="27"/>
        </w:rPr>
      </w:pPr>
    </w:p>
    <w:p w:rsidR="009E6F8E" w:rsidRPr="003F0F2F" w:rsidRDefault="009E6F8E" w:rsidP="009E6F8E">
      <w:pPr>
        <w:spacing w:after="200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9E6F8E" w:rsidRPr="003F0F2F" w:rsidRDefault="009E6F8E" w:rsidP="009E6F8E">
      <w:pPr>
        <w:spacing w:after="200"/>
        <w:jc w:val="center"/>
        <w:rPr>
          <w:rFonts w:ascii="Times New Roman" w:eastAsiaTheme="minorHAnsi" w:hAnsi="Times New Roman"/>
          <w:color w:val="000000"/>
          <w:sz w:val="27"/>
          <w:szCs w:val="27"/>
        </w:rPr>
      </w:pPr>
      <w:r w:rsidRPr="003F0F2F">
        <w:rPr>
          <w:rFonts w:ascii="Times New Roman" w:eastAsiaTheme="minorHAnsi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5E8D298" wp14:editId="6FE3DADF">
            <wp:extent cx="2278527" cy="2593074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14" cy="26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8E" w:rsidRPr="003F0F2F" w:rsidRDefault="009E6F8E" w:rsidP="009E6F8E">
      <w:pPr>
        <w:spacing w:after="200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9E6F8E" w:rsidRPr="003F0F2F" w:rsidRDefault="009E6F8E" w:rsidP="009E6F8E">
      <w:pPr>
        <w:spacing w:after="200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9E6F8E" w:rsidRPr="007F3982" w:rsidRDefault="009E6F8E" w:rsidP="009E6F8E">
      <w:pPr>
        <w:spacing w:after="200"/>
        <w:jc w:val="center"/>
        <w:rPr>
          <w:rFonts w:ascii="Times New Roman" w:eastAsiaTheme="minorHAnsi" w:hAnsi="Times New Roman"/>
          <w:color w:val="000000"/>
          <w:sz w:val="48"/>
          <w:szCs w:val="40"/>
        </w:rPr>
      </w:pPr>
      <w:r w:rsidRPr="007F3982">
        <w:rPr>
          <w:rFonts w:ascii="Times New Roman" w:eastAsiaTheme="minorHAnsi" w:hAnsi="Times New Roman"/>
          <w:b/>
          <w:color w:val="000000"/>
          <w:sz w:val="48"/>
          <w:szCs w:val="40"/>
        </w:rPr>
        <w:t>ИНФОРМАЦИОННЫЙ БЮЛЛЕТЕНЬ № 9</w:t>
      </w:r>
    </w:p>
    <w:p w:rsidR="009E6F8E" w:rsidRPr="007F3982" w:rsidRDefault="009E6F8E" w:rsidP="009E6F8E">
      <w:pPr>
        <w:spacing w:after="200"/>
        <w:jc w:val="center"/>
        <w:rPr>
          <w:rFonts w:ascii="Times New Roman" w:eastAsiaTheme="minorHAnsi" w:hAnsi="Times New Roman"/>
          <w:color w:val="000000"/>
          <w:sz w:val="32"/>
          <w:szCs w:val="27"/>
        </w:rPr>
      </w:pPr>
    </w:p>
    <w:p w:rsidR="009E6F8E" w:rsidRPr="007F3982" w:rsidRDefault="009E6F8E" w:rsidP="005060C0">
      <w:pPr>
        <w:spacing w:after="200"/>
        <w:jc w:val="center"/>
        <w:rPr>
          <w:rFonts w:ascii="Times New Roman" w:eastAsiaTheme="minorHAnsi" w:hAnsi="Times New Roman"/>
          <w:b/>
          <w:iCs/>
          <w:color w:val="000000"/>
          <w:sz w:val="32"/>
          <w:szCs w:val="27"/>
        </w:rPr>
      </w:pPr>
      <w:r w:rsidRPr="007F3982">
        <w:rPr>
          <w:rFonts w:ascii="Times New Roman" w:eastAsiaTheme="minorHAnsi" w:hAnsi="Times New Roman"/>
          <w:b/>
          <w:color w:val="000000"/>
          <w:sz w:val="44"/>
          <w:szCs w:val="36"/>
          <w:shd w:val="clear" w:color="auto" w:fill="FFFFFF"/>
        </w:rPr>
        <w:t>Дальневосточная ипотека для учителей</w:t>
      </w:r>
    </w:p>
    <w:p w:rsidR="009E6F8E" w:rsidRPr="003F0F2F" w:rsidRDefault="009E6F8E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</w:rPr>
      </w:pPr>
    </w:p>
    <w:p w:rsidR="009E6F8E" w:rsidRDefault="009E6F8E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</w:rPr>
      </w:pPr>
    </w:p>
    <w:p w:rsidR="009E6F8E" w:rsidRDefault="009E6F8E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  <w:lang w:val="en-US"/>
        </w:rPr>
      </w:pPr>
    </w:p>
    <w:p w:rsidR="007F3982" w:rsidRDefault="007F3982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  <w:lang w:val="en-US"/>
        </w:rPr>
      </w:pPr>
    </w:p>
    <w:p w:rsidR="007F3982" w:rsidRDefault="007F3982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  <w:lang w:val="en-US"/>
        </w:rPr>
      </w:pPr>
    </w:p>
    <w:p w:rsidR="007F3982" w:rsidRDefault="007F3982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  <w:lang w:val="en-US"/>
        </w:rPr>
      </w:pPr>
    </w:p>
    <w:p w:rsidR="007F3982" w:rsidRDefault="007F3982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  <w:lang w:val="en-US"/>
        </w:rPr>
      </w:pPr>
    </w:p>
    <w:p w:rsidR="007F3982" w:rsidRPr="007F3982" w:rsidRDefault="007F3982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32"/>
          <w:szCs w:val="27"/>
          <w:lang w:val="en-US"/>
        </w:rPr>
      </w:pPr>
    </w:p>
    <w:p w:rsidR="009E6F8E" w:rsidRPr="007F3982" w:rsidRDefault="005060C0" w:rsidP="005060C0">
      <w:pPr>
        <w:spacing w:after="200"/>
        <w:jc w:val="center"/>
        <w:rPr>
          <w:rFonts w:ascii="Times New Roman" w:eastAsiaTheme="minorHAnsi" w:hAnsi="Times New Roman"/>
          <w:b/>
          <w:color w:val="000000"/>
          <w:sz w:val="32"/>
          <w:szCs w:val="27"/>
        </w:rPr>
      </w:pPr>
      <w:r w:rsidRPr="007F3982">
        <w:rPr>
          <w:rFonts w:ascii="Times New Roman" w:eastAsiaTheme="minorHAnsi" w:hAnsi="Times New Roman"/>
          <w:b/>
          <w:color w:val="000000"/>
          <w:sz w:val="32"/>
          <w:szCs w:val="27"/>
        </w:rPr>
        <w:t xml:space="preserve">      г.</w:t>
      </w:r>
      <w:r w:rsidR="007F3982" w:rsidRPr="007F3982">
        <w:rPr>
          <w:rFonts w:ascii="Times New Roman" w:eastAsiaTheme="minorHAnsi" w:hAnsi="Times New Roman"/>
          <w:b/>
          <w:color w:val="000000"/>
          <w:sz w:val="32"/>
          <w:szCs w:val="27"/>
        </w:rPr>
        <w:t xml:space="preserve"> </w:t>
      </w:r>
      <w:r w:rsidR="009E6F8E" w:rsidRPr="007F3982">
        <w:rPr>
          <w:rFonts w:ascii="Times New Roman" w:eastAsiaTheme="minorHAnsi" w:hAnsi="Times New Roman"/>
          <w:b/>
          <w:color w:val="000000"/>
          <w:sz w:val="32"/>
          <w:szCs w:val="27"/>
        </w:rPr>
        <w:t>Улан-Удэ</w:t>
      </w:r>
    </w:p>
    <w:p w:rsidR="009E6F8E" w:rsidRPr="007F3982" w:rsidRDefault="007F3982" w:rsidP="005060C0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32"/>
          <w:szCs w:val="27"/>
        </w:rPr>
      </w:pPr>
      <w:r w:rsidRPr="007F3982">
        <w:rPr>
          <w:rFonts w:ascii="Times New Roman" w:hAnsi="Times New Roman"/>
          <w:b/>
          <w:color w:val="000000"/>
          <w:sz w:val="32"/>
          <w:szCs w:val="27"/>
        </w:rPr>
        <w:t>с</w:t>
      </w:r>
      <w:r w:rsidR="009E6F8E" w:rsidRPr="007F3982">
        <w:rPr>
          <w:rFonts w:ascii="Times New Roman" w:hAnsi="Times New Roman"/>
          <w:b/>
          <w:color w:val="000000"/>
          <w:sz w:val="32"/>
          <w:szCs w:val="27"/>
        </w:rPr>
        <w:t>ентябрь, 2022 г.</w:t>
      </w:r>
    </w:p>
    <w:p w:rsidR="009E6F8E" w:rsidRDefault="009E6F8E" w:rsidP="009E6F8E">
      <w:pPr>
        <w:pStyle w:val="a3"/>
        <w:ind w:firstLine="567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7F3982" w:rsidRPr="007F3982" w:rsidRDefault="007F3982" w:rsidP="007F3982">
      <w:pPr>
        <w:spacing w:line="360" w:lineRule="auto"/>
        <w:ind w:firstLine="567"/>
        <w:contextualSpacing/>
        <w:jc w:val="center"/>
        <w:rPr>
          <w:rFonts w:ascii="Times New Roman" w:eastAsiaTheme="minorHAnsi" w:hAnsi="Times New Roman"/>
          <w:b/>
          <w:sz w:val="36"/>
          <w:szCs w:val="28"/>
        </w:rPr>
      </w:pPr>
      <w:r w:rsidRPr="007F3982">
        <w:rPr>
          <w:rFonts w:ascii="Times New Roman" w:eastAsiaTheme="minorHAnsi" w:hAnsi="Times New Roman"/>
          <w:b/>
          <w:sz w:val="36"/>
          <w:szCs w:val="28"/>
        </w:rPr>
        <w:t>Дальневосточная ипотека для учителей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</w:pPr>
      <w:r w:rsidRPr="007F3982"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  <w:t>Правительство РФ распространило действие льготной программы </w:t>
      </w:r>
      <w:hyperlink r:id="rId7" w:tgtFrame="_blank" w:history="1">
        <w:r w:rsidRPr="007F3982">
          <w:rPr>
            <w:rFonts w:ascii="Times New Roman" w:eastAsiaTheme="minorHAnsi" w:hAnsi="Times New Roman"/>
            <w:b/>
            <w:bCs/>
            <w:sz w:val="28"/>
            <w:szCs w:val="28"/>
            <w:bdr w:val="none" w:sz="0" w:space="0" w:color="auto" w:frame="1"/>
            <w:shd w:val="clear" w:color="auto" w:fill="FFFFFF" w:themeFill="background1"/>
          </w:rPr>
          <w:t>«Дальневосточная ипотека»</w:t>
        </w:r>
      </w:hyperlink>
      <w:r w:rsidRPr="007F3982">
        <w:rPr>
          <w:rFonts w:ascii="Times New Roman" w:eastAsiaTheme="minorHAnsi" w:hAnsi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  (</w:t>
      </w:r>
      <w:r w:rsidRPr="007F3982">
        <w:rPr>
          <w:rFonts w:ascii="Times New Roman" w:eastAsiaTheme="minorHAnsi" w:hAnsi="Times New Roman"/>
          <w:color w:val="1C1B28"/>
          <w:sz w:val="28"/>
          <w:szCs w:val="28"/>
          <w:shd w:val="clear" w:color="auto" w:fill="FFFFFF" w:themeFill="background1"/>
        </w:rPr>
        <w:t>Ипотека с господдержкой под 2% годовых на жилье, расположенное на территории Дальневосточного федерального округа (ДФО)</w:t>
      </w:r>
      <w:r w:rsidRPr="007F3982"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  <w:t xml:space="preserve"> на сотрудников медицинских и образовательных организаций. Об этом  27 июня 2022 года </w:t>
      </w:r>
      <w:hyperlink r:id="rId8" w:tgtFrame="_blank" w:history="1">
        <w:r w:rsidRPr="007F3982">
          <w:rPr>
            <w:rFonts w:ascii="Times New Roman" w:eastAsiaTheme="minorHAnsi" w:hAnsi="Times New Roman"/>
            <w:bCs/>
            <w:sz w:val="28"/>
            <w:szCs w:val="28"/>
            <w:bdr w:val="none" w:sz="0" w:space="0" w:color="auto" w:frame="1"/>
          </w:rPr>
          <w:t>сообщил</w:t>
        </w:r>
      </w:hyperlink>
      <w:hyperlink r:id="rId9" w:tgtFrame="_blank" w:history="1">
        <w:r w:rsidRPr="007F3982">
          <w:rPr>
            <w:rFonts w:ascii="Times New Roman" w:eastAsiaTheme="minorHAnsi" w:hAnsi="Times New Roman"/>
            <w:bCs/>
            <w:sz w:val="28"/>
            <w:szCs w:val="28"/>
            <w:bdr w:val="none" w:sz="0" w:space="0" w:color="auto" w:frame="1"/>
          </w:rPr>
          <w:t>а</w:t>
        </w:r>
      </w:hyperlink>
      <w:r w:rsidRPr="007F3982"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  <w:t> пресс-служба Правительства России.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По новым правилам кредит смогут оформить не только молодые семьи и участники региональных программ мобильности, но и сотрудники медицинских и образовательных организаций ДФО. Главное условие для получения ипотеки по ставке до 2% – наличие стажа работы по специальности в регионах ДФО не менее пяти лет. К таким работникам не будут предъявляться требования по возрасту и семейному положению.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b/>
          <w:sz w:val="28"/>
          <w:szCs w:val="28"/>
          <w:lang w:eastAsia="ru-RU"/>
        </w:rPr>
        <w:t>Кто может воспользоваться Дальневосточной ипотекой?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Воспользоваться программой могут: 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- молодые семьи, в которых оба супруга находятся в возрасте до 35 лет (включительно);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- граждане до 35 лет (включительно) с детьми в возрасте до 18 лет (включительно);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- участники программы «Дальневосточный гектар»;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- граждане, которые переехали в субъекты ДФО в рамках </w:t>
      </w:r>
      <w:hyperlink r:id="rId10" w:tgtFrame="_blank" w:history="1">
        <w:r w:rsidRPr="007F3982">
          <w:rPr>
            <w:rFonts w:ascii="Times New Roman" w:eastAsiaTheme="minorHAnsi" w:hAnsi="Times New Roman"/>
            <w:sz w:val="28"/>
            <w:szCs w:val="28"/>
            <w:bdr w:val="none" w:sz="0" w:space="0" w:color="auto" w:frame="1"/>
            <w:lang w:eastAsia="ru-RU"/>
          </w:rPr>
          <w:t>региональных программ</w:t>
        </w:r>
      </w:hyperlink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 повышения мобильности трудовых ресурсов;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- граждане, имеющие стаж работы не менее 5 лет в образовательной или медицинской организации (государственной или муниципальной) на территории ДФО.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К последним трем категориям граждан не применяются требования относительно возраста и семейного положения.</w:t>
      </w:r>
    </w:p>
    <w:p w:rsidR="007F3982" w:rsidRPr="007F3982" w:rsidRDefault="007F3982" w:rsidP="007F3982">
      <w:pPr>
        <w:spacing w:line="360" w:lineRule="auto"/>
        <w:ind w:firstLine="567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Какие основные условия кредитования?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lastRenderedPageBreak/>
        <w:t>Участники программы могут рассчитывать на кредит по ставке до 2% годовых на срок до 20 лет. В качестве первоначального взноса необходимо внести не менее 15% стоимости жилья.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Размер кредита не может превышать 6 млн. рублей, а приобретаемое жилье должно располагаться на территории одного из субъектов Дальневосточного федерального округа.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Какое жилье можно приобрести по программе Дальневосточная ипотека?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- квартира в новостройке;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- частный дом или квартира в сельской местности;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- квартира в строящемся доме;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- индивидуальное жилищное строительство (ИЖС) самостоятельно или по договору подряда;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- вторичное жилье в моногородах. Распоряжением Правительства РФ № 1398-р от 29.07.2014г утвержден Перечень монопрофильных муниципальных образований (моногородов). В республике Бурятия таким поселениями признаны: пгт. Селенгинск., пгт. Каменск, пос. Саган-Нур, г. Закаменск, г. Гусиноозерск, г. Северобайкальск.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Также условия программы позволяют использовать Дальневосточную ипотеку для приобретения на вторичном рынке частного дома или квартиры, если они находятся в сельской местности.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Если учитель получил земельный участок по программе «Дальневосточный гектар» он имеет право воспользоваться ипотекой для строительства частного дома.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b/>
          <w:sz w:val="28"/>
          <w:szCs w:val="28"/>
          <w:lang w:eastAsia="ru-RU"/>
        </w:rPr>
        <w:t>Какие банки участвуют в программе «Дальневосточная ипотека»?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</w:tblGrid>
      <w:tr w:rsidR="007F3982" w:rsidRPr="007F3982" w:rsidTr="007E0905">
        <w:trPr>
          <w:trHeight w:val="483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11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«СБЕРБАНК»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12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«ВТБ»</w:t>
              </w:r>
            </w:hyperlink>
          </w:p>
          <w:p w:rsidR="007F3982" w:rsidRPr="007F3982" w:rsidRDefault="007F3982" w:rsidP="007F3982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</w:rPr>
              <w:t xml:space="preserve">          </w:t>
            </w:r>
            <w:hyperlink r:id="rId13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</w:rPr>
                <w:t>ПАО «Азиатско-Тихоокеанский банк»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14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АО «Банк ДОМ.РФ»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15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ГАЗПРОМБАНК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16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«Россельхозбанк»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17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«Промсвязьбанк»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>  </w:t>
            </w:r>
            <w:hyperlink r:id="rId18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«РОСБАНК»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19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«Дальневосточный банк»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20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Банк «ФК Открытие»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21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КБ «Восточный»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22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«Совкомбанк»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23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АКБ «Алмазэргиэнбанк»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24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АО Банк «Долинск»</w:t>
              </w:r>
            </w:hyperlink>
          </w:p>
        </w:tc>
      </w:tr>
      <w:tr w:rsidR="007F3982" w:rsidRPr="007F3982" w:rsidTr="007E0905">
        <w:trPr>
          <w:trHeight w:val="4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982" w:rsidRPr="007F3982" w:rsidRDefault="007F3982" w:rsidP="007F3982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lastRenderedPageBreak/>
        <w:t xml:space="preserve">Чтобы получить кредит не обязательно иметь постоянную регистрацию на территории ДФО. </w:t>
      </w:r>
      <w:r w:rsidRPr="007F3982">
        <w:rPr>
          <w:rFonts w:ascii="Times New Roman" w:eastAsiaTheme="minorHAnsi" w:hAnsi="Times New Roman"/>
          <w:b/>
          <w:bCs/>
          <w:sz w:val="28"/>
          <w:szCs w:val="28"/>
          <w:bdr w:val="none" w:sz="0" w:space="0" w:color="auto" w:frame="1"/>
        </w:rPr>
        <w:t>Если</w:t>
      </w:r>
      <w:r w:rsidRPr="007F3982">
        <w:rPr>
          <w:rFonts w:ascii="Times New Roman" w:eastAsiaTheme="minorHAnsi" w:hAnsi="Times New Roman"/>
          <w:sz w:val="28"/>
          <w:szCs w:val="28"/>
        </w:rPr>
        <w:t> на момент покупки у вас </w:t>
      </w:r>
      <w:r w:rsidRPr="007F3982">
        <w:rPr>
          <w:rFonts w:ascii="Times New Roman" w:eastAsiaTheme="minorHAnsi" w:hAnsi="Times New Roman"/>
          <w:b/>
          <w:bCs/>
          <w:sz w:val="28"/>
          <w:szCs w:val="28"/>
          <w:bdr w:val="none" w:sz="0" w:space="0" w:color="auto" w:frame="1"/>
        </w:rPr>
        <w:t>не было постоянной прописки</w:t>
      </w:r>
      <w:r w:rsidRPr="007F3982">
        <w:rPr>
          <w:rFonts w:ascii="Times New Roman" w:eastAsiaTheme="minorHAnsi" w:hAnsi="Times New Roman"/>
          <w:sz w:val="28"/>
          <w:szCs w:val="28"/>
        </w:rPr>
        <w:t> на территории Дальневосточного федерального округа, то после оформления права собственности на жилье, вам </w:t>
      </w:r>
      <w:r w:rsidRPr="007F3982">
        <w:rPr>
          <w:rFonts w:ascii="Times New Roman" w:eastAsiaTheme="minorHAnsi" w:hAnsi="Times New Roman"/>
          <w:b/>
          <w:bCs/>
          <w:sz w:val="28"/>
          <w:szCs w:val="28"/>
          <w:bdr w:val="none" w:sz="0" w:space="0" w:color="auto" w:frame="1"/>
        </w:rPr>
        <w:t>необходимо зарегистрироваться по новому адресу</w:t>
      </w:r>
      <w:r w:rsidRPr="007F3982">
        <w:rPr>
          <w:rFonts w:ascii="Times New Roman" w:eastAsiaTheme="minorHAnsi" w:hAnsi="Times New Roman"/>
          <w:sz w:val="28"/>
          <w:szCs w:val="28"/>
        </w:rPr>
        <w:t> в течение 270 дней. С этого момента регистрация должна действовать </w:t>
      </w:r>
      <w:r w:rsidRPr="007F3982">
        <w:rPr>
          <w:rFonts w:ascii="Times New Roman" w:eastAsiaTheme="minorHAnsi" w:hAnsi="Times New Roman"/>
          <w:b/>
          <w:bCs/>
          <w:sz w:val="28"/>
          <w:szCs w:val="28"/>
          <w:bdr w:val="none" w:sz="0" w:space="0" w:color="auto" w:frame="1"/>
        </w:rPr>
        <w:t>не менее 5 лет</w:t>
      </w:r>
      <w:r w:rsidRPr="007F3982">
        <w:rPr>
          <w:rFonts w:ascii="Times New Roman" w:eastAsiaTheme="minorHAnsi" w:hAnsi="Times New Roman"/>
          <w:sz w:val="28"/>
          <w:szCs w:val="28"/>
        </w:rPr>
        <w:t>, иначе банк имеет право пересмотреть условия предоставления кредита.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Сбербанк предлагает оформить ипотеку учителю, в рамках любой доступной программы. ВТБ банк также опубликовал информацию на официальном сайте, о кредитовании под 0,1% в рамках «Дальневосточной ипотеки».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Отметим, что ипотека от Сбербанка пользуется самой большой популярностью. Объясняется это не только низкими ставками. Суть в том, что банк лояльно относится к участникам зарплатного проекта.  На практике почти все учителя получают зарплату на дебетовую карту именно Сбербанка.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Условия ипотечного кредитования в Сбербанке для учителей: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Первоначальный взнос: от 10% от стоимости приобретаемой недвижимости. Ставка по договору: от 4,7% годовых. Срок: до 30 лет, можно погасить досрочно без штрафных санкций. Сумма кредита: от 300 000 до 100 000 000 рублей.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Требования к учителю: Стаж работы учителем: не менее 5 лет. Имущество в собственности: его быть не должно. Подать заявку можно как в офисе, так и дистанционно. При выборе второго варианта надо перейти на сайт ДомКлик, получить доступ в личный кабинет и отправить заявку. Процедура регистрации в личном кабинете стандартная и занимает по времени не более 5 минут.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Условия ипотечного кредитования в ВТБ для учителей: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lastRenderedPageBreak/>
        <w:t xml:space="preserve">В рамках Дальневосточной ипотеки банк готов выдавать кредиты для учителей под 0,1%. Об этом банк сообщил 26 января 2022 года на официальном сайте банка, в разделе «Новости».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Ставка: 0,1% годовых. Первоначальный взнос: от 15%. Срок: до 20 лет. Сумма: до 6 000 000 рублей.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Ипотека по программе «Господдержка 2020».</w:t>
      </w:r>
      <w:r w:rsidRPr="007F398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Сразу отметим, что это не целевой продукт для учителей, однако ставка по такой ипотеке привлекательная. В рамках программы можно купить только квартиру в новостройке.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Условия: Процентная ставка: до 7% годовых (по факту от 5,75%). Максимальная сумма: до 3 000 000 рублей, во всех регионах. Первоначальный взнос: от 15% от стоимости приобретаемой квартиры. В программе участвуют более 60 банков. Актуальный список, на дату обращения, опубликован на сайте: </w:t>
      </w:r>
      <w:r w:rsidRPr="007F3982">
        <w:rPr>
          <w:rFonts w:ascii="Times New Roman" w:eastAsiaTheme="minorHAnsi" w:hAnsi="Times New Roman"/>
          <w:i/>
          <w:sz w:val="28"/>
          <w:szCs w:val="28"/>
        </w:rPr>
        <w:t>спроси.дом.рф</w:t>
      </w:r>
      <w:r w:rsidRPr="007F3982">
        <w:rPr>
          <w:rFonts w:ascii="Times New Roman" w:eastAsiaTheme="minorHAnsi" w:hAnsi="Times New Roman"/>
          <w:sz w:val="28"/>
          <w:szCs w:val="28"/>
        </w:rPr>
        <w:t xml:space="preserve">. Список банков, по состоянию на февраль 2022 года.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Что нужно для оформления ипотеки.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Процедура оформления ипотеки во всех банках стандартная. Учителю потребуется выбрать программу и отправить заявку. Для удобства заемщиков почти все банки принимают и обрабатывают заявки в режиме реального времени. Получив одобрение, останется подготовить запрашиваемый пакет документов.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Стандартный пакет документов:</w:t>
      </w:r>
      <w:r w:rsidRPr="007F3982">
        <w:rPr>
          <w:rFonts w:ascii="Times New Roman" w:eastAsiaTheme="minorHAnsi" w:hAnsi="Times New Roman"/>
          <w:sz w:val="28"/>
          <w:szCs w:val="28"/>
        </w:rPr>
        <w:t xml:space="preserve"> Заявление-анкета, заполняется в банке или онлайн. Паспорт. Второй документ, для подтверждения личности. Заверенная копия трудовой книжки. Справка или другие документы о доходах. Свидетельство о заключении брака (для семейных пар). Если есть дети – то свидетельство о рождении каждого. Документы на квартиру, по запросу банка.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Перечень документов может изменяться. Актуальный список всегда озвучит кредитный менеджер, учитывая выбранную программу кредитования.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Для оплаты первоначального взноса по ипотечному кредиту можно использовать материнский капитал: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- 524,5 тыс. рублей на первого ребенка;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- 693,1 тыс. рублей на второго и последующих детей.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Когда могут отказать в выдаче кредита по программе.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lastRenderedPageBreak/>
        <w:t>Отказать в выдаче ипотеки могут в случае, если гражданин (или супруг) уже становился участником программы.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Кроме того, поводом для отказа может стать наличие отрицательной (плохой) кредитной истории, недостаточный или низкий уровень дохода или несоответствие требованиям банка.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color w:val="1C1B28"/>
          <w:sz w:val="28"/>
          <w:szCs w:val="28"/>
          <w:shd w:val="clear" w:color="auto" w:fill="FFFFFF"/>
        </w:rPr>
        <w:t>Программа «Дальневосточная ипотека» действует до </w:t>
      </w:r>
      <w:r w:rsidRPr="007F3982">
        <w:rPr>
          <w:rFonts w:ascii="Times New Roman" w:eastAsiaTheme="minorHAnsi" w:hAnsi="Times New Roman"/>
          <w:b/>
          <w:bCs/>
          <w:color w:val="1C1B28"/>
          <w:sz w:val="28"/>
          <w:szCs w:val="28"/>
          <w:bdr w:val="none" w:sz="0" w:space="0" w:color="auto" w:frame="1"/>
          <w:shd w:val="clear" w:color="auto" w:fill="FFFFFF"/>
        </w:rPr>
        <w:t>31 декабря 2024 года</w:t>
      </w:r>
      <w:r w:rsidRPr="007F3982">
        <w:rPr>
          <w:rFonts w:ascii="Times New Roman" w:eastAsiaTheme="minorHAnsi" w:hAnsi="Times New Roman"/>
          <w:color w:val="1C1B28"/>
          <w:sz w:val="28"/>
          <w:szCs w:val="28"/>
          <w:shd w:val="clear" w:color="auto" w:fill="FFFFFF"/>
        </w:rPr>
        <w:t>. Правительством РФ озвучено намерение о ее продлении еще на 8 лет.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3092E" w:rsidRDefault="0053092E" w:rsidP="007F3982">
      <w:pPr>
        <w:pStyle w:val="a3"/>
        <w:spacing w:line="360" w:lineRule="auto"/>
        <w:contextualSpacing/>
        <w:jc w:val="both"/>
      </w:pPr>
    </w:p>
    <w:sectPr w:rsidR="0053092E" w:rsidSect="007F3982">
      <w:pgSz w:w="11906" w:h="16838"/>
      <w:pgMar w:top="765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3FEA"/>
    <w:multiLevelType w:val="multilevel"/>
    <w:tmpl w:val="5CEE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90DB5"/>
    <w:multiLevelType w:val="multilevel"/>
    <w:tmpl w:val="399E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96"/>
    <w:rsid w:val="002B486D"/>
    <w:rsid w:val="00326277"/>
    <w:rsid w:val="003F23B0"/>
    <w:rsid w:val="005060C0"/>
    <w:rsid w:val="0053092E"/>
    <w:rsid w:val="006201E6"/>
    <w:rsid w:val="007F3982"/>
    <w:rsid w:val="009C03B8"/>
    <w:rsid w:val="009E6F8E"/>
    <w:rsid w:val="00A14596"/>
    <w:rsid w:val="00A55D4B"/>
    <w:rsid w:val="00D42110"/>
    <w:rsid w:val="00E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8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2627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59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262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62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6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277"/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8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2627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59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262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62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6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277"/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45832/" TargetMode="External"/><Relationship Id="rId13" Type="http://schemas.openxmlformats.org/officeDocument/2006/relationships/hyperlink" Target="https://www.atb.su/?utm_source=site&amp;utm_medium=article&amp;utm_campaign=ipoteka_dfo&amp;utm_term=utm-banki-sprosi" TargetMode="External"/><Relationship Id="rId18" Type="http://schemas.openxmlformats.org/officeDocument/2006/relationships/hyperlink" Target="https://www.rosbank.ru/?utm_source=site&amp;utm_medium=article&amp;utm_campaign=ipoteka_dfo&amp;utm_term=utm-banki-spros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vostbank.ru/?utm_source=site&amp;utm_medium=article&amp;utm_campaign=ipoteka_dfo&amp;utm_term=utm-banki-sprosi" TargetMode="External"/><Relationship Id="rId7" Type="http://schemas.openxmlformats.org/officeDocument/2006/relationships/hyperlink" Target="https://xn--h1alcedd.xn--d1aqf.xn--p1ai/instructions/ipoteka_dfo/" TargetMode="External"/><Relationship Id="rId12" Type="http://schemas.openxmlformats.org/officeDocument/2006/relationships/hyperlink" Target="https://www.vtb.ru/personal/ipoteka/?utm_source=site&amp;utm_medium=article&amp;utm_campaign=ipoteka_dfo&amp;utm_term=utm-banki-sprosi" TargetMode="External"/><Relationship Id="rId17" Type="http://schemas.openxmlformats.org/officeDocument/2006/relationships/hyperlink" Target="https://www.psbank.ru/?utm_source=site&amp;utm_medium=article&amp;utm_campaign=ipoteka_dfo&amp;utm_term=utm-banki-spros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shb.ru/?utm_source=site&amp;utm_medium=article&amp;utm_campaign=ipoteka_dfo&amp;utm_term=utm-banki-sprosi" TargetMode="External"/><Relationship Id="rId20" Type="http://schemas.openxmlformats.org/officeDocument/2006/relationships/hyperlink" Target="https://www.open.ru/?utm_source=site&amp;utm_medium=article&amp;utm_campaign=ipoteka_dfo&amp;utm_term=utm-banki-spros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mclick.ru/ipoteka/programs/far-eastern/?utm_source=site&amp;utm_medium=article&amp;utm_campaign=ipoteka_dfo&amp;utm_term=utm-banki-sprosi" TargetMode="External"/><Relationship Id="rId24" Type="http://schemas.openxmlformats.org/officeDocument/2006/relationships/hyperlink" Target="https://www.bankdolinsk.ru/?utm_source=site&amp;utm_medium=article&amp;utm_campaign=ipoteka_dfo&amp;utm_term=utm-banki-spro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zprombank.ru/personal/take_credit/mortgage/5737909?utm_source=site&amp;utm_medium=post&amp;utm_campaign=ipoteka_dfo&amp;utm%C2%AD_term=utm-banki-sprosi" TargetMode="External"/><Relationship Id="rId23" Type="http://schemas.openxmlformats.org/officeDocument/2006/relationships/hyperlink" Target="https://albank.ru/ru/?utm_source=site&amp;utm_medium=article&amp;utm_campaign=ipoteka_dfo&amp;utm_term=utm-banki-sprosi" TargetMode="External"/><Relationship Id="rId10" Type="http://schemas.openxmlformats.org/officeDocument/2006/relationships/hyperlink" Target="https://trudvsem.ru/information-pages/mobility-program" TargetMode="External"/><Relationship Id="rId19" Type="http://schemas.openxmlformats.org/officeDocument/2006/relationships/hyperlink" Target="https://www.dvbank.ru/?utm_source=site&amp;utm_medium=article&amp;utm_campaign=ipoteka_dfo&amp;utm_term=utm-banki-spro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45832/" TargetMode="External"/><Relationship Id="rId14" Type="http://schemas.openxmlformats.org/officeDocument/2006/relationships/hyperlink" Target="https://domrfbank.ru/?utm_source=sprosi.dom.rf&amp;utm_medium=link&amp;utm_campaign=aff_sprosi_glav" TargetMode="External"/><Relationship Id="rId22" Type="http://schemas.openxmlformats.org/officeDocument/2006/relationships/hyperlink" Target="https://sovcombank.ru/?utm_source=site&amp;utm_medium=article&amp;utm_campaign=ipoteka_dfo&amp;utm_term=utm-banki-spro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krasheninnikov</dc:creator>
  <cp:lastModifiedBy>kizhinga</cp:lastModifiedBy>
  <cp:revision>2</cp:revision>
  <cp:lastPrinted>2022-09-07T05:51:00Z</cp:lastPrinted>
  <dcterms:created xsi:type="dcterms:W3CDTF">2022-09-22T01:54:00Z</dcterms:created>
  <dcterms:modified xsi:type="dcterms:W3CDTF">2022-09-22T01:54:00Z</dcterms:modified>
</cp:coreProperties>
</file>